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F2" w:rsidRPr="00B763F2" w:rsidRDefault="00B763F2" w:rsidP="00B763F2">
      <w:pPr>
        <w:adjustRightInd/>
        <w:snapToGrid/>
        <w:spacing w:before="100" w:beforeAutospacing="1" w:after="100" w:afterAutospacing="1" w:line="450" w:lineRule="atLeast"/>
        <w:jc w:val="center"/>
        <w:outlineLvl w:val="2"/>
        <w:rPr>
          <w:rFonts w:ascii="ˎ̥" w:eastAsia="宋体" w:hAnsi="ˎ̥" w:cs="宋体" w:hint="eastAsia"/>
          <w:b/>
          <w:bCs/>
          <w:sz w:val="24"/>
          <w:szCs w:val="24"/>
        </w:rPr>
      </w:pPr>
      <w:r w:rsidRPr="00B763F2">
        <w:rPr>
          <w:rFonts w:ascii="ˎ̥" w:eastAsia="宋体" w:hAnsi="ˎ̥" w:cs="宋体"/>
          <w:b/>
          <w:bCs/>
          <w:sz w:val="24"/>
          <w:szCs w:val="24"/>
        </w:rPr>
        <w:t>201</w:t>
      </w:r>
      <w:r>
        <w:rPr>
          <w:rFonts w:ascii="ˎ̥" w:eastAsia="宋体" w:hAnsi="ˎ̥" w:cs="宋体" w:hint="eastAsia"/>
          <w:b/>
          <w:bCs/>
          <w:sz w:val="24"/>
          <w:szCs w:val="24"/>
        </w:rPr>
        <w:t>7</w:t>
      </w:r>
      <w:r w:rsidRPr="00B763F2">
        <w:rPr>
          <w:rFonts w:ascii="ˎ̥" w:eastAsia="宋体" w:hAnsi="ˎ̥" w:cs="宋体"/>
          <w:b/>
          <w:bCs/>
          <w:sz w:val="24"/>
          <w:szCs w:val="24"/>
        </w:rPr>
        <w:t>年重庆工程职业技术学院成人高等教育招生简章</w:t>
      </w:r>
    </w:p>
    <w:p w:rsidR="00B763F2" w:rsidRPr="00B763F2" w:rsidRDefault="00B763F2" w:rsidP="00B763F2">
      <w:pPr>
        <w:adjustRightInd/>
        <w:snapToGrid/>
        <w:spacing w:before="100" w:beforeAutospacing="1" w:after="100" w:afterAutospacing="1" w:line="375" w:lineRule="atLeast"/>
        <w:ind w:firstLine="480"/>
        <w:rPr>
          <w:rFonts w:ascii="ˎ̥" w:eastAsia="宋体" w:hAnsi="ˎ̥" w:cs="宋体" w:hint="eastAsia"/>
          <w:sz w:val="21"/>
          <w:szCs w:val="21"/>
        </w:rPr>
      </w:pPr>
      <w:r w:rsidRPr="00B763F2">
        <w:rPr>
          <w:rFonts w:ascii="宋体" w:eastAsia="宋体" w:hAnsi="宋体" w:cs="宋体" w:hint="eastAsia"/>
          <w:sz w:val="21"/>
          <w:szCs w:val="21"/>
        </w:rPr>
        <w:t>重庆工程职业技术学院是由重庆市人民政府举办，重庆市教育委员会主管的公办全日制普通高等院校。学院代码：12759。学院创办于1951年，1998年举办高等职业教育，2001年成为独立设置的高等职业院校。2005年接受教育部高职高专人才培养工作水平评估，荣获优秀等级。2007年入选国家示范性高等职业院校建设计划，2010年通过教育部、财政部验收，成为国家示范性高等职业院校。</w:t>
      </w:r>
    </w:p>
    <w:p w:rsidR="00B763F2" w:rsidRPr="00B763F2" w:rsidRDefault="00130B4F" w:rsidP="00B763F2">
      <w:pPr>
        <w:adjustRightInd/>
        <w:snapToGrid/>
        <w:spacing w:before="150" w:after="0" w:line="375" w:lineRule="atLeast"/>
        <w:ind w:firstLine="480"/>
        <w:rPr>
          <w:rFonts w:ascii="ˎ̥" w:eastAsia="宋体" w:hAnsi="ˎ̥" w:cs="宋体" w:hint="eastAsia"/>
          <w:sz w:val="21"/>
          <w:szCs w:val="21"/>
        </w:rPr>
      </w:pPr>
      <w:r w:rsidRPr="00130B4F">
        <w:rPr>
          <w:rFonts w:ascii="宋体" w:eastAsia="宋体" w:hAnsi="宋体" w:cs="宋体" w:hint="eastAsia"/>
          <w:sz w:val="21"/>
          <w:szCs w:val="21"/>
        </w:rPr>
        <w:t>学校占地面积1100亩，建筑面积29.8万平方米。固定资产原值12亿元，其中教学科研仪器设备1.1亿元。校内实训基地（室）200个（中央财政重点支持建设的专业实训基地8个、实训室21个），生产性实训基地8个，有稳定的校外实习基地261个。图书馆藏纸质图书70余万册，电子专业期刊近万种。教学实训设施完善，设备先进，建有虚实一体实训基地。建成共享型专业教学资源库云综合平台，各种视频、课件、教学计划、工具软件、虚拟实训容量达10T，用户达1.1万人，实现以学生为中心的个性化、智慧化学习。学生学习、生活和运动设施齐全。</w:t>
      </w:r>
      <w:r w:rsidR="00B763F2" w:rsidRPr="00B763F2">
        <w:rPr>
          <w:rFonts w:ascii="宋体" w:eastAsia="宋体" w:hAnsi="宋体" w:cs="宋体" w:hint="eastAsia"/>
          <w:sz w:val="21"/>
          <w:szCs w:val="21"/>
        </w:rPr>
        <w:t>校园环境优美，绿荫蔽日，书香浸润，传统与现代交融，是重庆市“园林式”单位。</w:t>
      </w:r>
    </w:p>
    <w:p w:rsidR="00130B4F" w:rsidRDefault="00B763F2" w:rsidP="00B763F2">
      <w:pPr>
        <w:adjustRightInd/>
        <w:snapToGrid/>
        <w:spacing w:before="150" w:after="0" w:line="375" w:lineRule="atLeast"/>
        <w:ind w:firstLine="480"/>
        <w:rPr>
          <w:rFonts w:ascii="宋体" w:eastAsia="宋体" w:hAnsi="宋体" w:cs="宋体"/>
          <w:sz w:val="21"/>
          <w:szCs w:val="21"/>
        </w:rPr>
      </w:pPr>
      <w:r w:rsidRPr="00B763F2">
        <w:rPr>
          <w:rFonts w:ascii="宋体" w:eastAsia="宋体" w:hAnsi="宋体" w:cs="宋体" w:hint="eastAsia"/>
          <w:sz w:val="21"/>
          <w:szCs w:val="21"/>
        </w:rPr>
        <w:t>学院现有教职工700余人，其中教授（含教授级高级工程师）</w:t>
      </w:r>
      <w:r w:rsidR="00130B4F">
        <w:rPr>
          <w:rFonts w:ascii="宋体" w:eastAsia="宋体" w:hAnsi="宋体" w:cs="宋体" w:hint="eastAsia"/>
          <w:sz w:val="21"/>
          <w:szCs w:val="21"/>
        </w:rPr>
        <w:t>72</w:t>
      </w:r>
      <w:r w:rsidRPr="00B763F2">
        <w:rPr>
          <w:rFonts w:ascii="宋体" w:eastAsia="宋体" w:hAnsi="宋体" w:cs="宋体" w:hint="eastAsia"/>
          <w:sz w:val="21"/>
          <w:szCs w:val="21"/>
        </w:rPr>
        <w:t>人（</w:t>
      </w:r>
      <w:r w:rsidR="00130B4F" w:rsidRPr="00130B4F">
        <w:rPr>
          <w:rFonts w:ascii="宋体" w:eastAsia="宋体" w:hAnsi="宋体" w:cs="宋体" w:hint="eastAsia"/>
          <w:sz w:val="21"/>
          <w:szCs w:val="21"/>
        </w:rPr>
        <w:t>博士生导师1名，</w:t>
      </w:r>
      <w:r w:rsidRPr="00B763F2">
        <w:rPr>
          <w:rFonts w:ascii="宋体" w:eastAsia="宋体" w:hAnsi="宋体" w:cs="宋体" w:hint="eastAsia"/>
          <w:sz w:val="21"/>
          <w:szCs w:val="21"/>
        </w:rPr>
        <w:t>硕士生导师</w:t>
      </w:r>
      <w:r w:rsidR="00130B4F" w:rsidRPr="00B763F2">
        <w:rPr>
          <w:rFonts w:ascii="宋体" w:eastAsia="宋体" w:hAnsi="宋体" w:cs="宋体" w:hint="eastAsia"/>
          <w:sz w:val="21"/>
          <w:szCs w:val="21"/>
        </w:rPr>
        <w:t>6</w:t>
      </w:r>
      <w:r w:rsidR="00130B4F">
        <w:rPr>
          <w:rFonts w:ascii="宋体" w:eastAsia="宋体" w:hAnsi="宋体" w:cs="宋体" w:hint="eastAsia"/>
          <w:sz w:val="21"/>
          <w:szCs w:val="21"/>
        </w:rPr>
        <w:t>名</w:t>
      </w:r>
      <w:r w:rsidRPr="00B763F2">
        <w:rPr>
          <w:rFonts w:ascii="宋体" w:eastAsia="宋体" w:hAnsi="宋体" w:cs="宋体" w:hint="eastAsia"/>
          <w:sz w:val="21"/>
          <w:szCs w:val="21"/>
        </w:rPr>
        <w:t>），副教授（含高级工程师、高级会计师等）1</w:t>
      </w:r>
      <w:r w:rsidR="00130B4F">
        <w:rPr>
          <w:rFonts w:ascii="宋体" w:eastAsia="宋体" w:hAnsi="宋体" w:cs="宋体" w:hint="eastAsia"/>
          <w:sz w:val="21"/>
          <w:szCs w:val="21"/>
        </w:rPr>
        <w:t>62</w:t>
      </w:r>
      <w:r w:rsidRPr="00B763F2">
        <w:rPr>
          <w:rFonts w:ascii="宋体" w:eastAsia="宋体" w:hAnsi="宋体" w:cs="宋体" w:hint="eastAsia"/>
          <w:sz w:val="21"/>
          <w:szCs w:val="21"/>
        </w:rPr>
        <w:t>人；博士</w:t>
      </w:r>
      <w:r w:rsidR="00130B4F">
        <w:rPr>
          <w:rFonts w:ascii="宋体" w:eastAsia="宋体" w:hAnsi="宋体" w:cs="宋体" w:hint="eastAsia"/>
          <w:sz w:val="21"/>
          <w:szCs w:val="21"/>
        </w:rPr>
        <w:t>4</w:t>
      </w:r>
      <w:r w:rsidRPr="00B763F2">
        <w:rPr>
          <w:rFonts w:ascii="宋体" w:eastAsia="宋体" w:hAnsi="宋体" w:cs="宋体" w:hint="eastAsia"/>
          <w:sz w:val="21"/>
          <w:szCs w:val="21"/>
        </w:rPr>
        <w:t>2人，硕士268人；“双师”素质教师3</w:t>
      </w:r>
      <w:r w:rsidR="00130B4F">
        <w:rPr>
          <w:rFonts w:ascii="宋体" w:eastAsia="宋体" w:hAnsi="宋体" w:cs="宋体" w:hint="eastAsia"/>
          <w:sz w:val="21"/>
          <w:szCs w:val="21"/>
        </w:rPr>
        <w:t>5</w:t>
      </w:r>
      <w:r w:rsidRPr="00B763F2">
        <w:rPr>
          <w:rFonts w:ascii="宋体" w:eastAsia="宋体" w:hAnsi="宋体" w:cs="宋体" w:hint="eastAsia"/>
          <w:sz w:val="21"/>
          <w:szCs w:val="21"/>
        </w:rPr>
        <w:t>0余人，有国家级教学团队1个，国家级专家18人，重庆市市级教学团队 7个，重庆市市级专家65人。</w:t>
      </w:r>
      <w:r w:rsidR="00130B4F" w:rsidRPr="00130B4F">
        <w:rPr>
          <w:rFonts w:ascii="宋体" w:eastAsia="宋体" w:hAnsi="宋体" w:cs="宋体" w:hint="eastAsia"/>
          <w:sz w:val="21"/>
          <w:szCs w:val="21"/>
        </w:rPr>
        <w:t>学校聘请了中国工程院院士刘人怀教授担任学校名誉校长，聘请了中国科学院院士宋振骐教授、中国工程院院士宁津生教授等16名著名专家学者担任客座教授。学校长期聘请了行业企业技术专家、能工巧匠300余名担任兼职教师。</w:t>
      </w:r>
    </w:p>
    <w:p w:rsidR="00B763F2" w:rsidRPr="00B763F2" w:rsidRDefault="00B763F2" w:rsidP="00B763F2">
      <w:pPr>
        <w:adjustRightInd/>
        <w:snapToGrid/>
        <w:spacing w:before="150" w:after="0" w:line="375" w:lineRule="atLeast"/>
        <w:ind w:firstLine="480"/>
        <w:rPr>
          <w:rFonts w:ascii="ˎ̥" w:eastAsia="宋体" w:hAnsi="ˎ̥" w:cs="宋体" w:hint="eastAsia"/>
          <w:sz w:val="21"/>
          <w:szCs w:val="21"/>
        </w:rPr>
      </w:pPr>
      <w:r w:rsidRPr="00B763F2">
        <w:rPr>
          <w:rFonts w:ascii="宋体" w:eastAsia="宋体" w:hAnsi="宋体" w:cs="宋体" w:hint="eastAsia"/>
          <w:sz w:val="21"/>
          <w:szCs w:val="21"/>
        </w:rPr>
        <w:t>学院现设有矿业与环境工程学院、机械工程学院、地质与测绘工程学院、建筑工程学院、信息工程学院、财经与贸易学院、电气工程学院、艺术与设计学院、继续教育学院等9个二级教学院系，基础教学部、思想政治理论教学研究部、体育与国防教学部等3个教学部，现开设有9个专业大类的</w:t>
      </w:r>
      <w:r>
        <w:rPr>
          <w:rFonts w:ascii="宋体" w:eastAsia="宋体" w:hAnsi="宋体" w:cs="宋体" w:hint="eastAsia"/>
          <w:sz w:val="21"/>
          <w:szCs w:val="21"/>
        </w:rPr>
        <w:t>49</w:t>
      </w:r>
      <w:r w:rsidRPr="00B763F2">
        <w:rPr>
          <w:rFonts w:ascii="宋体" w:eastAsia="宋体" w:hAnsi="宋体" w:cs="宋体" w:hint="eastAsia"/>
          <w:sz w:val="21"/>
          <w:szCs w:val="21"/>
        </w:rPr>
        <w:t>个高职专科专业</w:t>
      </w:r>
      <w:r w:rsidR="00130B4F">
        <w:rPr>
          <w:rFonts w:ascii="宋体" w:eastAsia="宋体" w:hAnsi="宋体" w:cs="宋体" w:hint="eastAsia"/>
          <w:sz w:val="21"/>
          <w:szCs w:val="21"/>
        </w:rPr>
        <w:t>；</w:t>
      </w:r>
      <w:r w:rsidR="00130B4F" w:rsidRPr="00130B4F">
        <w:rPr>
          <w:rFonts w:ascii="宋体" w:eastAsia="宋体" w:hAnsi="宋体" w:cs="宋体" w:hint="eastAsia"/>
          <w:sz w:val="21"/>
          <w:szCs w:val="21"/>
        </w:rPr>
        <w:t>经重庆市批准学校与中国矿业大学联合举办成人本科专业5个，学校现有全日制在校学生13000余人，成人学生3000余人。</w:t>
      </w:r>
    </w:p>
    <w:p w:rsidR="003406FB" w:rsidRDefault="00B763F2" w:rsidP="003406FB">
      <w:pPr>
        <w:adjustRightInd/>
        <w:snapToGrid/>
        <w:spacing w:before="150" w:after="0" w:line="375" w:lineRule="atLeast"/>
        <w:ind w:firstLine="480"/>
        <w:rPr>
          <w:rFonts w:ascii="ˎ̥" w:eastAsia="宋体" w:hAnsi="ˎ̥" w:cs="宋体" w:hint="eastAsia"/>
          <w:sz w:val="21"/>
          <w:szCs w:val="21"/>
        </w:rPr>
      </w:pPr>
      <w:r w:rsidRPr="00B763F2">
        <w:rPr>
          <w:rFonts w:ascii="宋体" w:eastAsia="宋体" w:hAnsi="宋体" w:cs="宋体" w:hint="eastAsia"/>
          <w:sz w:val="21"/>
          <w:szCs w:val="21"/>
        </w:rPr>
        <w:t>重庆工程职业技术学院继续教育学院是集成人教育与职业培训于一体的二级学院，肩负着学院成人各层次学历教育的招生、教学管理、学生管理及职业培训的职能。2003</w:t>
      </w:r>
      <w:r w:rsidR="00D333EC">
        <w:rPr>
          <w:rFonts w:ascii="宋体" w:eastAsia="宋体" w:hAnsi="宋体" w:cs="宋体" w:hint="eastAsia"/>
          <w:sz w:val="21"/>
          <w:szCs w:val="21"/>
        </w:rPr>
        <w:t>年取得独立举办专科层次的成人高等学历教育资格</w:t>
      </w:r>
      <w:r w:rsidRPr="00B763F2">
        <w:rPr>
          <w:rFonts w:ascii="宋体" w:eastAsia="宋体" w:hAnsi="宋体" w:cs="宋体" w:hint="eastAsia"/>
          <w:sz w:val="21"/>
          <w:szCs w:val="21"/>
        </w:rPr>
        <w:t>，2011年经重庆市教委批准我院矿业类专业成人专科开展单独招生试点工作。经过十多年的发展，已形成了多种办学形式并存，学历教育与非学历教育并重的格局；</w:t>
      </w:r>
      <w:r w:rsidR="00D333EC">
        <w:rPr>
          <w:rFonts w:ascii="宋体" w:eastAsia="宋体" w:hAnsi="宋体" w:cs="宋体" w:hint="eastAsia"/>
          <w:sz w:val="21"/>
          <w:szCs w:val="21"/>
        </w:rPr>
        <w:t>2017年成人高等学历教育规模扩招，招生专业达到</w:t>
      </w:r>
      <w:r w:rsidR="00C1242E">
        <w:rPr>
          <w:rFonts w:ascii="宋体" w:eastAsia="宋体" w:hAnsi="宋体" w:cs="宋体" w:hint="eastAsia"/>
          <w:sz w:val="21"/>
          <w:szCs w:val="21"/>
        </w:rPr>
        <w:t>8个专业大类的</w:t>
      </w:r>
      <w:r w:rsidR="00D333EC">
        <w:rPr>
          <w:rFonts w:ascii="宋体" w:eastAsia="宋体" w:hAnsi="宋体" w:cs="宋体" w:hint="eastAsia"/>
          <w:sz w:val="21"/>
          <w:szCs w:val="21"/>
        </w:rPr>
        <w:t>29个</w:t>
      </w:r>
      <w:r w:rsidR="00C1242E">
        <w:rPr>
          <w:rFonts w:ascii="宋体" w:eastAsia="宋体" w:hAnsi="宋体" w:cs="宋体" w:hint="eastAsia"/>
          <w:sz w:val="21"/>
          <w:szCs w:val="21"/>
        </w:rPr>
        <w:t>成人专科专业。</w:t>
      </w:r>
      <w:r w:rsidR="00C1242E" w:rsidRPr="00B763F2">
        <w:rPr>
          <w:rFonts w:ascii="宋体" w:eastAsia="宋体" w:hAnsi="宋体" w:cs="宋体" w:hint="eastAsia"/>
          <w:sz w:val="21"/>
          <w:szCs w:val="21"/>
        </w:rPr>
        <w:t>继续教育学院</w:t>
      </w:r>
      <w:r w:rsidRPr="00B763F2">
        <w:rPr>
          <w:rFonts w:ascii="宋体" w:eastAsia="宋体" w:hAnsi="宋体" w:cs="宋体" w:hint="eastAsia"/>
          <w:sz w:val="21"/>
          <w:szCs w:val="21"/>
        </w:rPr>
        <w:t>教育管理规范，教学质量优良，是一个具有一定办学规模的成人教育机构</w:t>
      </w:r>
      <w:r w:rsidR="00C1242E">
        <w:rPr>
          <w:rFonts w:ascii="宋体" w:eastAsia="宋体" w:hAnsi="宋体" w:cs="宋体" w:hint="eastAsia"/>
          <w:sz w:val="21"/>
          <w:szCs w:val="21"/>
        </w:rPr>
        <w:t>，</w:t>
      </w:r>
      <w:r w:rsidRPr="00B763F2">
        <w:rPr>
          <w:rFonts w:ascii="宋体" w:eastAsia="宋体" w:hAnsi="宋体" w:cs="宋体" w:hint="eastAsia"/>
          <w:sz w:val="21"/>
          <w:szCs w:val="21"/>
        </w:rPr>
        <w:t>现有非全日制成人学历教育学生和各类培训学员</w:t>
      </w:r>
      <w:r w:rsidR="00C1242E">
        <w:rPr>
          <w:rFonts w:ascii="宋体" w:eastAsia="宋体" w:hAnsi="宋体" w:cs="宋体" w:hint="eastAsia"/>
          <w:sz w:val="21"/>
          <w:szCs w:val="21"/>
        </w:rPr>
        <w:t>3</w:t>
      </w:r>
      <w:r w:rsidRPr="00B763F2">
        <w:rPr>
          <w:rFonts w:ascii="宋体" w:eastAsia="宋体" w:hAnsi="宋体" w:cs="宋体" w:hint="eastAsia"/>
          <w:sz w:val="21"/>
          <w:szCs w:val="21"/>
        </w:rPr>
        <w:t>000余人。</w:t>
      </w:r>
    </w:p>
    <w:p w:rsidR="00B763F2" w:rsidRPr="00B763F2" w:rsidRDefault="00B763F2" w:rsidP="003406FB">
      <w:pPr>
        <w:adjustRightInd/>
        <w:snapToGrid/>
        <w:spacing w:before="150" w:after="0" w:line="375" w:lineRule="atLeast"/>
        <w:ind w:firstLine="480"/>
        <w:rPr>
          <w:rFonts w:ascii="ˎ̥" w:eastAsia="宋体" w:hAnsi="ˎ̥" w:cs="宋体" w:hint="eastAsia"/>
          <w:sz w:val="21"/>
          <w:szCs w:val="21"/>
        </w:rPr>
      </w:pPr>
      <w:r w:rsidRPr="00B763F2">
        <w:rPr>
          <w:rFonts w:ascii="宋体" w:eastAsia="宋体" w:hAnsi="宋体" w:cs="宋体" w:hint="eastAsia"/>
          <w:sz w:val="21"/>
          <w:szCs w:val="21"/>
        </w:rPr>
        <w:lastRenderedPageBreak/>
        <w:t xml:space="preserve">热忱欢迎有志于学历教育提升的广大成人朋友报考我院！ </w:t>
      </w:r>
    </w:p>
    <w:p w:rsidR="00B763F2" w:rsidRPr="00B763F2" w:rsidRDefault="00B763F2" w:rsidP="00B763F2">
      <w:pPr>
        <w:adjustRightInd/>
        <w:snapToGrid/>
        <w:spacing w:before="150" w:after="0" w:line="375" w:lineRule="atLeast"/>
        <w:ind w:firstLine="480"/>
        <w:rPr>
          <w:rFonts w:ascii="ˎ̥" w:eastAsia="宋体" w:hAnsi="ˎ̥" w:cs="宋体" w:hint="eastAsia"/>
          <w:sz w:val="21"/>
          <w:szCs w:val="21"/>
        </w:rPr>
      </w:pPr>
      <w:r w:rsidRPr="00B763F2">
        <w:rPr>
          <w:rFonts w:ascii="宋体" w:eastAsia="宋体" w:hAnsi="宋体" w:cs="宋体" w:hint="eastAsia"/>
          <w:b/>
          <w:bCs/>
          <w:sz w:val="21"/>
        </w:rPr>
        <w:t>一、招生对象</w:t>
      </w:r>
    </w:p>
    <w:p w:rsidR="00B763F2" w:rsidRPr="00B763F2" w:rsidRDefault="00B763F2" w:rsidP="00B763F2">
      <w:pPr>
        <w:adjustRightInd/>
        <w:snapToGrid/>
        <w:spacing w:before="150" w:after="0" w:line="375" w:lineRule="atLeast"/>
        <w:ind w:firstLine="480"/>
        <w:rPr>
          <w:rFonts w:ascii="ˎ̥" w:eastAsia="宋体" w:hAnsi="ˎ̥" w:cs="宋体" w:hint="eastAsia"/>
          <w:sz w:val="21"/>
          <w:szCs w:val="21"/>
        </w:rPr>
      </w:pPr>
      <w:r w:rsidRPr="00B763F2">
        <w:rPr>
          <w:rFonts w:ascii="宋体" w:eastAsia="宋体" w:hAnsi="宋体" w:cs="宋体" w:hint="eastAsia"/>
          <w:sz w:val="21"/>
          <w:szCs w:val="21"/>
        </w:rPr>
        <w:t>各类在职、从业人员、社会青年等均可报名。</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b/>
          <w:bCs/>
          <w:sz w:val="21"/>
        </w:rPr>
        <w:t>二、报考条件</w:t>
      </w:r>
    </w:p>
    <w:p w:rsidR="00B763F2" w:rsidRPr="00B763F2" w:rsidRDefault="00B763F2" w:rsidP="00B763F2">
      <w:pPr>
        <w:adjustRightInd/>
        <w:snapToGrid/>
        <w:spacing w:before="150" w:after="0" w:line="375" w:lineRule="atLeast"/>
        <w:ind w:firstLine="480"/>
        <w:rPr>
          <w:rFonts w:ascii="ˎ̥" w:eastAsia="宋体" w:hAnsi="ˎ̥" w:cs="宋体" w:hint="eastAsia"/>
          <w:sz w:val="21"/>
          <w:szCs w:val="21"/>
        </w:rPr>
      </w:pPr>
      <w:r w:rsidRPr="00B763F2">
        <w:rPr>
          <w:rFonts w:ascii="宋体" w:eastAsia="宋体" w:hAnsi="宋体" w:cs="宋体" w:hint="eastAsia"/>
          <w:sz w:val="21"/>
          <w:szCs w:val="21"/>
        </w:rPr>
        <w:t>遵守中华人民共和国宪法和法律。国家承认学历的各类高、中等学校毕业生及同等学力的社会青年，在职、从业人员和社会其他人员。身体健康，生活能自理，不影响所报专业学习。</w:t>
      </w:r>
    </w:p>
    <w:p w:rsidR="00305E62" w:rsidRDefault="00B763F2" w:rsidP="00305E62">
      <w:pPr>
        <w:adjustRightInd/>
        <w:snapToGrid/>
        <w:spacing w:before="150" w:after="0" w:line="375" w:lineRule="atLeast"/>
        <w:ind w:firstLine="480"/>
        <w:rPr>
          <w:rFonts w:ascii="宋体" w:eastAsia="宋体" w:hAnsi="宋体" w:cs="宋体"/>
          <w:sz w:val="21"/>
          <w:szCs w:val="21"/>
        </w:rPr>
      </w:pPr>
      <w:r w:rsidRPr="00B763F2">
        <w:rPr>
          <w:rFonts w:ascii="宋体" w:eastAsia="宋体" w:hAnsi="宋体" w:cs="宋体" w:hint="eastAsia"/>
          <w:sz w:val="21"/>
          <w:szCs w:val="21"/>
        </w:rPr>
        <w:t>报考高起专的考生应具有高中毕业文化程度。矿业类成人大专单独招生的考生按照单独招生章程执行。</w:t>
      </w:r>
    </w:p>
    <w:p w:rsidR="00305E62" w:rsidRDefault="00B763F2" w:rsidP="00305E62">
      <w:pPr>
        <w:adjustRightInd/>
        <w:snapToGrid/>
        <w:spacing w:before="150" w:after="0" w:line="375" w:lineRule="atLeast"/>
        <w:ind w:firstLine="480"/>
        <w:rPr>
          <w:rFonts w:ascii="宋体" w:eastAsia="宋体" w:hAnsi="宋体" w:cs="宋体"/>
          <w:sz w:val="21"/>
          <w:szCs w:val="21"/>
        </w:rPr>
      </w:pPr>
      <w:r w:rsidRPr="00B763F2">
        <w:rPr>
          <w:rFonts w:ascii="宋体" w:eastAsia="宋体" w:hAnsi="宋体" w:cs="宋体" w:hint="eastAsia"/>
          <w:sz w:val="21"/>
          <w:szCs w:val="21"/>
        </w:rPr>
        <w:t>根据全国成人高考考试成绩全面衡量、择优网上录取</w:t>
      </w:r>
      <w:r w:rsidR="00305E62">
        <w:rPr>
          <w:rFonts w:ascii="宋体" w:eastAsia="宋体" w:hAnsi="宋体" w:cs="宋体" w:hint="eastAsia"/>
          <w:sz w:val="21"/>
          <w:szCs w:val="21"/>
        </w:rPr>
        <w:t>。</w:t>
      </w:r>
    </w:p>
    <w:p w:rsidR="00305E62" w:rsidRPr="00305E62" w:rsidRDefault="00305E62" w:rsidP="00305E62">
      <w:pPr>
        <w:adjustRightInd/>
        <w:snapToGrid/>
        <w:spacing w:before="150" w:after="0" w:line="375" w:lineRule="atLeast"/>
        <w:ind w:firstLine="480"/>
        <w:rPr>
          <w:rFonts w:ascii="宋体" w:eastAsia="宋体" w:hAnsi="宋体" w:cs="宋体"/>
          <w:b/>
          <w:bCs/>
          <w:sz w:val="21"/>
        </w:rPr>
      </w:pPr>
      <w:r w:rsidRPr="00305E62">
        <w:rPr>
          <w:rFonts w:ascii="宋体" w:eastAsia="宋体" w:hAnsi="宋体" w:cs="宋体" w:hint="eastAsia"/>
          <w:b/>
          <w:bCs/>
          <w:sz w:val="21"/>
        </w:rPr>
        <w:t>三、报名时间及报名地点</w:t>
      </w:r>
    </w:p>
    <w:p w:rsidR="00B763F2" w:rsidRPr="00B763F2" w:rsidRDefault="00305E62" w:rsidP="00305E62">
      <w:pPr>
        <w:adjustRightInd/>
        <w:snapToGrid/>
        <w:spacing w:before="150" w:after="0" w:line="375" w:lineRule="atLeast"/>
        <w:ind w:firstLine="480"/>
        <w:rPr>
          <w:rFonts w:ascii="ˎ̥" w:eastAsia="宋体" w:hAnsi="ˎ̥" w:cs="宋体" w:hint="eastAsia"/>
          <w:sz w:val="21"/>
          <w:szCs w:val="21"/>
        </w:rPr>
      </w:pPr>
      <w:r w:rsidRPr="00B763F2">
        <w:rPr>
          <w:rFonts w:ascii="宋体" w:eastAsia="宋体" w:hAnsi="宋体" w:cs="宋体" w:hint="eastAsia"/>
          <w:sz w:val="21"/>
          <w:szCs w:val="21"/>
        </w:rPr>
        <w:t xml:space="preserve"> </w:t>
      </w:r>
      <w:r w:rsidR="00B763F2" w:rsidRPr="00B763F2">
        <w:rPr>
          <w:rFonts w:ascii="宋体" w:eastAsia="宋体" w:hAnsi="宋体" w:cs="宋体" w:hint="eastAsia"/>
          <w:sz w:val="21"/>
          <w:szCs w:val="21"/>
        </w:rPr>
        <w:t>1、报名时间</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成人高考时间按各省、市、自治区招考机构统一规定的时间报名。重庆市201</w:t>
      </w:r>
      <w:r>
        <w:rPr>
          <w:rFonts w:ascii="宋体" w:eastAsia="宋体" w:hAnsi="宋体" w:cs="宋体" w:hint="eastAsia"/>
          <w:sz w:val="21"/>
          <w:szCs w:val="21"/>
        </w:rPr>
        <w:t>7</w:t>
      </w:r>
      <w:r w:rsidRPr="00B763F2">
        <w:rPr>
          <w:rFonts w:ascii="宋体" w:eastAsia="宋体" w:hAnsi="宋体" w:cs="宋体" w:hint="eastAsia"/>
          <w:sz w:val="21"/>
          <w:szCs w:val="21"/>
        </w:rPr>
        <w:t>年全国各类成人高校统一招生考试的报名采取网上报名与现场确认相结合的方式，报名时间为8月</w:t>
      </w:r>
      <w:r>
        <w:rPr>
          <w:rFonts w:ascii="宋体" w:eastAsia="宋体" w:hAnsi="宋体" w:cs="宋体" w:hint="eastAsia"/>
          <w:sz w:val="21"/>
          <w:szCs w:val="21"/>
        </w:rPr>
        <w:t>29</w:t>
      </w:r>
      <w:r w:rsidRPr="00B763F2">
        <w:rPr>
          <w:rFonts w:ascii="宋体" w:eastAsia="宋体" w:hAnsi="宋体" w:cs="宋体" w:hint="eastAsia"/>
          <w:sz w:val="21"/>
          <w:szCs w:val="21"/>
        </w:rPr>
        <w:t>日—9月12日。</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现场确认时间：社会考生必须本人于</w:t>
      </w:r>
      <w:r>
        <w:rPr>
          <w:rFonts w:ascii="宋体" w:eastAsia="宋体" w:hAnsi="宋体" w:cs="宋体" w:hint="eastAsia"/>
          <w:sz w:val="21"/>
          <w:szCs w:val="21"/>
        </w:rPr>
        <w:t>9</w:t>
      </w:r>
      <w:r w:rsidRPr="00B763F2">
        <w:rPr>
          <w:rFonts w:ascii="宋体" w:eastAsia="宋体" w:hAnsi="宋体" w:cs="宋体" w:hint="eastAsia"/>
          <w:sz w:val="21"/>
          <w:szCs w:val="21"/>
        </w:rPr>
        <w:t>月</w:t>
      </w:r>
      <w:r>
        <w:rPr>
          <w:rFonts w:ascii="宋体" w:eastAsia="宋体" w:hAnsi="宋体" w:cs="宋体" w:hint="eastAsia"/>
          <w:sz w:val="21"/>
          <w:szCs w:val="21"/>
        </w:rPr>
        <w:t>6</w:t>
      </w:r>
      <w:r w:rsidRPr="00B763F2">
        <w:rPr>
          <w:rFonts w:ascii="宋体" w:eastAsia="宋体" w:hAnsi="宋体" w:cs="宋体" w:hint="eastAsia"/>
          <w:sz w:val="21"/>
          <w:szCs w:val="21"/>
        </w:rPr>
        <w:t>日至9月1</w:t>
      </w:r>
      <w:r>
        <w:rPr>
          <w:rFonts w:ascii="宋体" w:eastAsia="宋体" w:hAnsi="宋体" w:cs="宋体" w:hint="eastAsia"/>
          <w:sz w:val="21"/>
          <w:szCs w:val="21"/>
        </w:rPr>
        <w:t>2</w:t>
      </w:r>
      <w:r w:rsidRPr="00B763F2">
        <w:rPr>
          <w:rFonts w:ascii="宋体" w:eastAsia="宋体" w:hAnsi="宋体" w:cs="宋体" w:hint="eastAsia"/>
          <w:sz w:val="21"/>
          <w:szCs w:val="21"/>
        </w:rPr>
        <w:t>日到所选报考区县招生考试机构进行现场确认。</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网上报名网址为：重庆市教育考试院门户网站（</w:t>
      </w:r>
      <w:hyperlink r:id="rId6" w:history="1">
        <w:r w:rsidRPr="00B763F2">
          <w:rPr>
            <w:rFonts w:ascii="宋体" w:eastAsia="宋体" w:hAnsi="宋体" w:cs="宋体" w:hint="eastAsia"/>
            <w:color w:val="000000"/>
            <w:sz w:val="21"/>
          </w:rPr>
          <w:t>http://www.cqksy.cn）或重庆招考信息网（</w:t>
        </w:r>
      </w:hyperlink>
      <w:hyperlink r:id="rId7" w:history="1">
        <w:r w:rsidRPr="00B763F2">
          <w:rPr>
            <w:rFonts w:ascii="宋体" w:eastAsia="宋体" w:hAnsi="宋体" w:cs="宋体" w:hint="eastAsia"/>
            <w:color w:val="000000"/>
            <w:sz w:val="21"/>
          </w:rPr>
          <w:t>http://www.cqzk.com.cn）</w:t>
        </w:r>
      </w:hyperlink>
      <w:r w:rsidRPr="00B763F2">
        <w:rPr>
          <w:rFonts w:ascii="ˎ̥" w:eastAsia="宋体" w:hAnsi="ˎ̥" w:cs="宋体"/>
          <w:sz w:val="21"/>
          <w:szCs w:val="21"/>
        </w:rPr>
        <w:t>。</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2、报名地点</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成人高考报名地点可以在当地的教委考试院</w:t>
      </w:r>
      <w:r>
        <w:rPr>
          <w:rFonts w:ascii="宋体" w:eastAsia="宋体" w:hAnsi="宋体" w:cs="宋体" w:hint="eastAsia"/>
          <w:sz w:val="21"/>
          <w:szCs w:val="21"/>
        </w:rPr>
        <w:t>或教委指定地</w:t>
      </w:r>
      <w:r w:rsidRPr="00B763F2">
        <w:rPr>
          <w:rFonts w:ascii="宋体" w:eastAsia="宋体" w:hAnsi="宋体" w:cs="宋体" w:hint="eastAsia"/>
          <w:sz w:val="21"/>
          <w:szCs w:val="21"/>
        </w:rPr>
        <w:t>报名。</w:t>
      </w:r>
    </w:p>
    <w:p w:rsidR="00B763F2" w:rsidRPr="00B763F2" w:rsidRDefault="00B763F2" w:rsidP="00B763F2">
      <w:pPr>
        <w:adjustRightInd/>
        <w:snapToGrid/>
        <w:spacing w:before="150" w:after="0" w:line="360" w:lineRule="atLeast"/>
        <w:ind w:left="420"/>
        <w:rPr>
          <w:rFonts w:ascii="ˎ̥" w:eastAsia="宋体" w:hAnsi="ˎ̥" w:cs="宋体" w:hint="eastAsia"/>
          <w:sz w:val="21"/>
          <w:szCs w:val="21"/>
        </w:rPr>
      </w:pPr>
      <w:r w:rsidRPr="00B763F2">
        <w:rPr>
          <w:rFonts w:ascii="宋体" w:eastAsia="宋体" w:hAnsi="宋体" w:cs="宋体" w:hint="eastAsia"/>
          <w:b/>
          <w:bCs/>
          <w:sz w:val="21"/>
        </w:rPr>
        <w:t>四、成人高考时间及地点</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1、全国成人高考时间：201</w:t>
      </w:r>
      <w:r>
        <w:rPr>
          <w:rFonts w:ascii="宋体" w:eastAsia="宋体" w:hAnsi="宋体" w:cs="宋体" w:hint="eastAsia"/>
          <w:sz w:val="21"/>
          <w:szCs w:val="21"/>
        </w:rPr>
        <w:t>7</w:t>
      </w:r>
      <w:r w:rsidRPr="00B763F2">
        <w:rPr>
          <w:rFonts w:ascii="宋体" w:eastAsia="宋体" w:hAnsi="宋体" w:cs="宋体" w:hint="eastAsia"/>
          <w:sz w:val="21"/>
          <w:szCs w:val="21"/>
        </w:rPr>
        <w:t>年10 月2</w:t>
      </w:r>
      <w:r>
        <w:rPr>
          <w:rFonts w:ascii="宋体" w:eastAsia="宋体" w:hAnsi="宋体" w:cs="宋体" w:hint="eastAsia"/>
          <w:sz w:val="21"/>
          <w:szCs w:val="21"/>
        </w:rPr>
        <w:t>8</w:t>
      </w:r>
      <w:r w:rsidRPr="00B763F2">
        <w:rPr>
          <w:rFonts w:ascii="宋体" w:eastAsia="宋体" w:hAnsi="宋体" w:cs="宋体" w:hint="eastAsia"/>
          <w:sz w:val="21"/>
          <w:szCs w:val="21"/>
        </w:rPr>
        <w:t>日-201</w:t>
      </w:r>
      <w:r>
        <w:rPr>
          <w:rFonts w:ascii="宋体" w:eastAsia="宋体" w:hAnsi="宋体" w:cs="宋体" w:hint="eastAsia"/>
          <w:sz w:val="21"/>
          <w:szCs w:val="21"/>
        </w:rPr>
        <w:t>7</w:t>
      </w:r>
      <w:r w:rsidRPr="00B763F2">
        <w:rPr>
          <w:rFonts w:ascii="宋体" w:eastAsia="宋体" w:hAnsi="宋体" w:cs="宋体" w:hint="eastAsia"/>
          <w:sz w:val="21"/>
          <w:szCs w:val="21"/>
        </w:rPr>
        <w:t>年10 月</w:t>
      </w:r>
      <w:r>
        <w:rPr>
          <w:rFonts w:ascii="宋体" w:eastAsia="宋体" w:hAnsi="宋体" w:cs="宋体" w:hint="eastAsia"/>
          <w:sz w:val="21"/>
          <w:szCs w:val="21"/>
        </w:rPr>
        <w:t>29</w:t>
      </w:r>
      <w:r w:rsidRPr="00B763F2">
        <w:rPr>
          <w:rFonts w:ascii="宋体" w:eastAsia="宋体" w:hAnsi="宋体" w:cs="宋体" w:hint="eastAsia"/>
          <w:sz w:val="21"/>
          <w:szCs w:val="21"/>
        </w:rPr>
        <w:t>日。</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2、地点：由报名点考试院指定。</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3、我院单招考试时间和地点：由我院继续教育学院另行通知。</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b/>
          <w:bCs/>
          <w:sz w:val="21"/>
        </w:rPr>
        <w:t>五、考试科目</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（1）全国成人大专统考科目：《语文》、《数学》、《外语》。</w:t>
      </w:r>
    </w:p>
    <w:p w:rsidR="00ED4AEF" w:rsidRDefault="00B763F2" w:rsidP="003B2C5C">
      <w:pPr>
        <w:adjustRightInd/>
        <w:snapToGrid/>
        <w:spacing w:before="150" w:after="0" w:line="360" w:lineRule="atLeast"/>
        <w:ind w:firstLine="480"/>
        <w:rPr>
          <w:rFonts w:ascii="宋体" w:eastAsia="宋体" w:hAnsi="宋体" w:cs="宋体"/>
          <w:sz w:val="21"/>
          <w:szCs w:val="21"/>
        </w:rPr>
      </w:pPr>
      <w:r w:rsidRPr="00B763F2">
        <w:rPr>
          <w:rFonts w:ascii="宋体" w:eastAsia="宋体" w:hAnsi="宋体" w:cs="宋体" w:hint="eastAsia"/>
          <w:sz w:val="21"/>
          <w:szCs w:val="21"/>
        </w:rPr>
        <w:t>（2）学院成人大专单独招生考试科目：《文化基础知识（语文、数学、外语）》、《专业基础知识》。</w:t>
      </w:r>
    </w:p>
    <w:p w:rsidR="001A3786" w:rsidRPr="00824F79" w:rsidRDefault="00824F79" w:rsidP="003B2C5C">
      <w:pPr>
        <w:adjustRightInd/>
        <w:snapToGrid/>
        <w:spacing w:before="150" w:after="0" w:line="360" w:lineRule="atLeast"/>
        <w:ind w:firstLine="480"/>
        <w:rPr>
          <w:rFonts w:ascii="宋体" w:eastAsia="宋体" w:hAnsi="宋体" w:cs="宋体"/>
          <w:sz w:val="21"/>
          <w:szCs w:val="21"/>
        </w:rPr>
      </w:pPr>
      <w:r w:rsidRPr="00B763F2">
        <w:rPr>
          <w:rFonts w:ascii="宋体" w:eastAsia="宋体" w:hAnsi="宋体" w:cs="宋体" w:hint="eastAsia"/>
          <w:sz w:val="21"/>
          <w:szCs w:val="21"/>
        </w:rPr>
        <w:lastRenderedPageBreak/>
        <w:t>（</w:t>
      </w:r>
      <w:r>
        <w:rPr>
          <w:rFonts w:ascii="宋体" w:eastAsia="宋体" w:hAnsi="宋体" w:cs="宋体" w:hint="eastAsia"/>
          <w:sz w:val="21"/>
          <w:szCs w:val="21"/>
        </w:rPr>
        <w:t>3</w:t>
      </w:r>
      <w:r w:rsidRPr="00B763F2">
        <w:rPr>
          <w:rFonts w:ascii="宋体" w:eastAsia="宋体" w:hAnsi="宋体" w:cs="宋体" w:hint="eastAsia"/>
          <w:sz w:val="21"/>
          <w:szCs w:val="21"/>
        </w:rPr>
        <w:t>）</w:t>
      </w:r>
      <w:r>
        <w:rPr>
          <w:rFonts w:ascii="宋体" w:eastAsia="宋体" w:hAnsi="宋体" w:cs="宋体" w:hint="eastAsia"/>
          <w:sz w:val="21"/>
          <w:szCs w:val="21"/>
        </w:rPr>
        <w:t>依据渝教招发[2017]16号文件要求，</w:t>
      </w:r>
      <w:r w:rsidRPr="00824F79">
        <w:rPr>
          <w:rFonts w:ascii="宋体" w:eastAsia="宋体" w:hAnsi="宋体" w:cs="宋体" w:hint="eastAsia"/>
          <w:sz w:val="21"/>
          <w:szCs w:val="21"/>
        </w:rPr>
        <w:t>所有报考艺术类专业的考生</w:t>
      </w:r>
      <w:r>
        <w:rPr>
          <w:rFonts w:ascii="宋体" w:eastAsia="宋体" w:hAnsi="宋体" w:cs="宋体" w:hint="eastAsia"/>
          <w:sz w:val="21"/>
          <w:szCs w:val="21"/>
        </w:rPr>
        <w:t>，都要</w:t>
      </w:r>
      <w:r w:rsidRPr="00824F79">
        <w:rPr>
          <w:rFonts w:ascii="宋体" w:eastAsia="宋体" w:hAnsi="宋体" w:cs="宋体" w:hint="eastAsia"/>
          <w:sz w:val="21"/>
          <w:szCs w:val="21"/>
        </w:rPr>
        <w:t>进行专业测试，测试的科目、时间、地点等，</w:t>
      </w:r>
      <w:r>
        <w:rPr>
          <w:rFonts w:ascii="宋体" w:eastAsia="宋体" w:hAnsi="宋体" w:cs="宋体" w:hint="eastAsia"/>
          <w:sz w:val="21"/>
          <w:szCs w:val="21"/>
        </w:rPr>
        <w:t>在报名确认后</w:t>
      </w:r>
      <w:r w:rsidRPr="00824F79">
        <w:rPr>
          <w:rFonts w:ascii="宋体" w:eastAsia="宋体" w:hAnsi="宋体" w:cs="宋体" w:hint="eastAsia"/>
          <w:sz w:val="21"/>
          <w:szCs w:val="21"/>
        </w:rPr>
        <w:t>由</w:t>
      </w:r>
      <w:r>
        <w:rPr>
          <w:rFonts w:ascii="宋体" w:eastAsia="宋体" w:hAnsi="宋体" w:cs="宋体" w:hint="eastAsia"/>
          <w:sz w:val="21"/>
          <w:szCs w:val="21"/>
        </w:rPr>
        <w:t>我</w:t>
      </w:r>
      <w:r w:rsidRPr="00824F79">
        <w:rPr>
          <w:rFonts w:ascii="宋体" w:eastAsia="宋体" w:hAnsi="宋体" w:cs="宋体" w:hint="eastAsia"/>
          <w:sz w:val="21"/>
          <w:szCs w:val="21"/>
        </w:rPr>
        <w:t>校</w:t>
      </w:r>
      <w:r>
        <w:rPr>
          <w:rFonts w:ascii="宋体" w:eastAsia="宋体" w:hAnsi="宋体" w:cs="宋体" w:hint="eastAsia"/>
          <w:sz w:val="21"/>
          <w:szCs w:val="21"/>
        </w:rPr>
        <w:t>制定公布，</w:t>
      </w:r>
      <w:r w:rsidR="00561709">
        <w:rPr>
          <w:rFonts w:ascii="宋体" w:eastAsia="宋体" w:hAnsi="宋体" w:cs="宋体" w:hint="eastAsia"/>
          <w:sz w:val="21"/>
          <w:szCs w:val="21"/>
        </w:rPr>
        <w:t>将</w:t>
      </w:r>
      <w:r>
        <w:rPr>
          <w:rFonts w:ascii="宋体" w:eastAsia="宋体" w:hAnsi="宋体" w:cs="宋体" w:hint="eastAsia"/>
          <w:sz w:val="21"/>
          <w:szCs w:val="21"/>
        </w:rPr>
        <w:t>于9月30日前完成测试</w:t>
      </w:r>
      <w:r w:rsidR="00E944AF">
        <w:rPr>
          <w:rFonts w:ascii="宋体" w:eastAsia="宋体" w:hAnsi="宋体" w:cs="宋体" w:hint="eastAsia"/>
          <w:sz w:val="21"/>
          <w:szCs w:val="21"/>
        </w:rPr>
        <w:t>。</w:t>
      </w:r>
    </w:p>
    <w:p w:rsidR="00E4076D" w:rsidRPr="00B763F2" w:rsidRDefault="00B763F2" w:rsidP="00B763F2">
      <w:pPr>
        <w:adjustRightInd/>
        <w:snapToGrid/>
        <w:spacing w:before="150" w:after="120" w:line="360" w:lineRule="atLeast"/>
        <w:ind w:left="420"/>
        <w:rPr>
          <w:rFonts w:ascii="ˎ̥" w:eastAsia="宋体" w:hAnsi="ˎ̥" w:cs="宋体" w:hint="eastAsia"/>
          <w:sz w:val="21"/>
          <w:szCs w:val="21"/>
        </w:rPr>
      </w:pPr>
      <w:r w:rsidRPr="00B763F2">
        <w:rPr>
          <w:rFonts w:ascii="宋体" w:eastAsia="宋体" w:hAnsi="宋体" w:cs="宋体" w:hint="eastAsia"/>
          <w:b/>
          <w:bCs/>
          <w:sz w:val="21"/>
        </w:rPr>
        <w:t>六、招收专业目录</w:t>
      </w:r>
    </w:p>
    <w:tbl>
      <w:tblPr>
        <w:tblW w:w="8237" w:type="dxa"/>
        <w:tblInd w:w="93" w:type="dxa"/>
        <w:tblLook w:val="04A0"/>
      </w:tblPr>
      <w:tblGrid>
        <w:gridCol w:w="2142"/>
        <w:gridCol w:w="850"/>
        <w:gridCol w:w="1134"/>
        <w:gridCol w:w="2126"/>
        <w:gridCol w:w="851"/>
        <w:gridCol w:w="1134"/>
      </w:tblGrid>
      <w:tr w:rsidR="00E4076D" w:rsidRPr="00E4076D" w:rsidTr="00E4076D">
        <w:trPr>
          <w:trHeight w:val="285"/>
        </w:trPr>
        <w:tc>
          <w:tcPr>
            <w:tcW w:w="2142" w:type="dxa"/>
            <w:tcBorders>
              <w:top w:val="single" w:sz="4" w:space="0" w:color="000000"/>
              <w:left w:val="single" w:sz="4" w:space="0" w:color="000000"/>
              <w:bottom w:val="single" w:sz="4" w:space="0" w:color="000000"/>
              <w:right w:val="single" w:sz="4" w:space="0" w:color="000000"/>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专业名称</w:t>
            </w:r>
          </w:p>
        </w:tc>
        <w:tc>
          <w:tcPr>
            <w:tcW w:w="850" w:type="dxa"/>
            <w:tcBorders>
              <w:top w:val="single" w:sz="4" w:space="0" w:color="000000"/>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学制</w:t>
            </w:r>
          </w:p>
        </w:tc>
        <w:tc>
          <w:tcPr>
            <w:tcW w:w="1134" w:type="dxa"/>
            <w:tcBorders>
              <w:top w:val="single" w:sz="4" w:space="0" w:color="auto"/>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招考形式</w:t>
            </w:r>
          </w:p>
        </w:tc>
        <w:tc>
          <w:tcPr>
            <w:tcW w:w="2126" w:type="dxa"/>
            <w:tcBorders>
              <w:top w:val="single" w:sz="4" w:space="0" w:color="auto"/>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专业名称</w:t>
            </w:r>
          </w:p>
        </w:tc>
        <w:tc>
          <w:tcPr>
            <w:tcW w:w="851" w:type="dxa"/>
            <w:tcBorders>
              <w:top w:val="single" w:sz="4" w:space="0" w:color="auto"/>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学制</w:t>
            </w:r>
          </w:p>
        </w:tc>
        <w:tc>
          <w:tcPr>
            <w:tcW w:w="1134" w:type="dxa"/>
            <w:tcBorders>
              <w:top w:val="single" w:sz="4" w:space="0" w:color="auto"/>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招考形式</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矿山地质</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应用化工技术</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工程测量技术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应用电子技术</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煤矿开采技术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物联网应用技术</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矿山机电技术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计算机应用技术</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矿井通风与安全</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计算机网络技术</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安全技术与管理</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会计</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建筑装饰工程技术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市场营销</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建筑工程技术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物流管理</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建筑电气工程技术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旅游管理</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工程造价</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酒店管理</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数控技术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视觉传播设计与制作</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机电一体化技术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产品艺术设计</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电气自动化技术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环境艺术设计</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F7F7F7"/>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工业机器人技术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人物形象设计</w:t>
            </w:r>
          </w:p>
        </w:tc>
        <w:tc>
          <w:tcPr>
            <w:tcW w:w="851"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r>
      <w:tr w:rsidR="00E4076D" w:rsidRPr="00E4076D" w:rsidTr="00E4076D">
        <w:trPr>
          <w:trHeight w:val="285"/>
        </w:trPr>
        <w:tc>
          <w:tcPr>
            <w:tcW w:w="2142" w:type="dxa"/>
            <w:tcBorders>
              <w:top w:val="nil"/>
              <w:left w:val="single" w:sz="4" w:space="0" w:color="000000"/>
              <w:bottom w:val="single" w:sz="4" w:space="0" w:color="000000"/>
              <w:right w:val="single" w:sz="4" w:space="0" w:color="000000"/>
            </w:tcBorders>
            <w:shd w:val="clear" w:color="000000" w:fill="E7E7FF"/>
            <w:noWrap/>
            <w:vAlign w:val="center"/>
            <w:hideMark/>
          </w:tcPr>
          <w:p w:rsidR="00E4076D" w:rsidRPr="00E4076D" w:rsidRDefault="00E4076D" w:rsidP="00E4076D">
            <w:pPr>
              <w:adjustRightInd/>
              <w:snapToGrid/>
              <w:spacing w:after="0"/>
              <w:jc w:val="right"/>
              <w:rPr>
                <w:rFonts w:ascii="宋体" w:eastAsia="宋体" w:hAnsi="宋体" w:cs="Tahoma"/>
                <w:color w:val="4A3C8C"/>
                <w:sz w:val="20"/>
                <w:szCs w:val="20"/>
              </w:rPr>
            </w:pPr>
            <w:r w:rsidRPr="00E4076D">
              <w:rPr>
                <w:rFonts w:ascii="宋体" w:eastAsia="宋体" w:hAnsi="宋体" w:cs="Tahoma" w:hint="eastAsia"/>
                <w:color w:val="4A3C8C"/>
                <w:sz w:val="20"/>
                <w:szCs w:val="20"/>
              </w:rPr>
              <w:t>汽车检测与维修技术</w:t>
            </w:r>
          </w:p>
        </w:tc>
        <w:tc>
          <w:tcPr>
            <w:tcW w:w="850" w:type="dxa"/>
            <w:tcBorders>
              <w:top w:val="nil"/>
              <w:left w:val="nil"/>
              <w:bottom w:val="single" w:sz="4" w:space="0" w:color="000000"/>
              <w:right w:val="nil"/>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2.5</w:t>
            </w:r>
            <w:r w:rsidRPr="00E4076D">
              <w:rPr>
                <w:rFonts w:ascii="宋体" w:eastAsia="宋体" w:hAnsi="宋体" w:cs="Tahoma" w:hint="eastAsia"/>
                <w:color w:val="000000"/>
              </w:rPr>
              <w:t>年</w:t>
            </w:r>
          </w:p>
        </w:tc>
        <w:tc>
          <w:tcPr>
            <w:tcW w:w="1134" w:type="dxa"/>
            <w:tcBorders>
              <w:top w:val="nil"/>
              <w:left w:val="single" w:sz="4" w:space="0" w:color="auto"/>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统招</w:t>
            </w:r>
          </w:p>
        </w:tc>
        <w:tc>
          <w:tcPr>
            <w:tcW w:w="2126" w:type="dxa"/>
            <w:tcBorders>
              <w:top w:val="nil"/>
              <w:left w:val="nil"/>
              <w:bottom w:val="single" w:sz="4" w:space="0" w:color="auto"/>
              <w:right w:val="single" w:sz="4" w:space="0" w:color="auto"/>
            </w:tcBorders>
            <w:shd w:val="clear" w:color="auto" w:fill="auto"/>
            <w:noWrap/>
            <w:vAlign w:val="bottom"/>
            <w:hideMark/>
          </w:tcPr>
          <w:p w:rsidR="00E4076D" w:rsidRPr="00E4076D" w:rsidRDefault="00E4076D" w:rsidP="00E4076D">
            <w:pPr>
              <w:adjustRightInd/>
              <w:snapToGrid/>
              <w:spacing w:after="0"/>
              <w:rPr>
                <w:rFonts w:eastAsia="宋体" w:cs="Tahoma"/>
                <w:color w:val="000000"/>
              </w:rPr>
            </w:pPr>
            <w:r w:rsidRPr="00E4076D">
              <w:rPr>
                <w:rFonts w:eastAsia="宋体" w:cs="Tahom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E4076D" w:rsidRPr="00E4076D" w:rsidRDefault="00E4076D" w:rsidP="00E4076D">
            <w:pPr>
              <w:adjustRightInd/>
              <w:snapToGrid/>
              <w:spacing w:after="0"/>
              <w:rPr>
                <w:rFonts w:eastAsia="宋体" w:cs="Tahoma"/>
                <w:color w:val="000000"/>
              </w:rPr>
            </w:pPr>
            <w:r w:rsidRPr="00E4076D">
              <w:rPr>
                <w:rFonts w:eastAsia="宋体" w:cs="Tahoma"/>
                <w:color w:val="000000"/>
              </w:rPr>
              <w:t xml:space="preserve">　</w:t>
            </w:r>
          </w:p>
        </w:tc>
        <w:tc>
          <w:tcPr>
            <w:tcW w:w="1134" w:type="dxa"/>
            <w:tcBorders>
              <w:top w:val="nil"/>
              <w:left w:val="nil"/>
              <w:bottom w:val="single" w:sz="4" w:space="0" w:color="auto"/>
              <w:right w:val="single" w:sz="4" w:space="0" w:color="auto"/>
            </w:tcBorders>
            <w:shd w:val="clear" w:color="000000" w:fill="4A3C8C"/>
            <w:noWrap/>
            <w:vAlign w:val="center"/>
            <w:hideMark/>
          </w:tcPr>
          <w:p w:rsidR="00E4076D" w:rsidRPr="00E4076D" w:rsidRDefault="00E4076D" w:rsidP="00E4076D">
            <w:pPr>
              <w:adjustRightInd/>
              <w:snapToGrid/>
              <w:spacing w:after="0"/>
              <w:jc w:val="center"/>
              <w:rPr>
                <w:rFonts w:ascii="宋体" w:eastAsia="宋体" w:hAnsi="宋体" w:cs="Tahoma"/>
                <w:b/>
                <w:bCs/>
                <w:color w:val="FFFFFF"/>
                <w:sz w:val="20"/>
                <w:szCs w:val="20"/>
              </w:rPr>
            </w:pPr>
            <w:r w:rsidRPr="00E4076D">
              <w:rPr>
                <w:rFonts w:ascii="宋体" w:eastAsia="宋体" w:hAnsi="宋体" w:cs="Tahoma" w:hint="eastAsia"/>
                <w:b/>
                <w:bCs/>
                <w:color w:val="FFFFFF"/>
                <w:sz w:val="20"/>
                <w:szCs w:val="20"/>
              </w:rPr>
              <w:t xml:space="preserve">　</w:t>
            </w:r>
          </w:p>
        </w:tc>
      </w:tr>
    </w:tbl>
    <w:p w:rsidR="00B763F2" w:rsidRPr="00B763F2" w:rsidRDefault="00B763F2" w:rsidP="00ED4AEF">
      <w:pPr>
        <w:adjustRightInd/>
        <w:snapToGrid/>
        <w:spacing w:before="150" w:after="0" w:line="360" w:lineRule="atLeast"/>
        <w:ind w:firstLineChars="250" w:firstLine="527"/>
        <w:rPr>
          <w:rFonts w:ascii="ˎ̥" w:eastAsia="宋体" w:hAnsi="ˎ̥" w:cs="宋体" w:hint="eastAsia"/>
          <w:sz w:val="21"/>
          <w:szCs w:val="21"/>
        </w:rPr>
      </w:pPr>
      <w:r w:rsidRPr="00B763F2">
        <w:rPr>
          <w:rFonts w:ascii="宋体" w:eastAsia="宋体" w:hAnsi="宋体" w:cs="宋体" w:hint="eastAsia"/>
          <w:b/>
          <w:bCs/>
          <w:sz w:val="21"/>
        </w:rPr>
        <w:t>七、收费标准</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学费按重庆市物价局核定的收费标准执行。</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b/>
          <w:bCs/>
          <w:sz w:val="21"/>
        </w:rPr>
        <w:t>八、学习地点及形式</w:t>
      </w:r>
    </w:p>
    <w:p w:rsidR="00B763F2" w:rsidRPr="00B763F2" w:rsidRDefault="00305E62" w:rsidP="00B763F2">
      <w:pPr>
        <w:adjustRightInd/>
        <w:snapToGrid/>
        <w:spacing w:before="150" w:after="0" w:line="360" w:lineRule="atLeast"/>
        <w:ind w:firstLine="480"/>
        <w:rPr>
          <w:rFonts w:ascii="ˎ̥" w:eastAsia="宋体" w:hAnsi="ˎ̥" w:cs="宋体" w:hint="eastAsia"/>
          <w:sz w:val="21"/>
          <w:szCs w:val="21"/>
        </w:rPr>
      </w:pPr>
      <w:r>
        <w:rPr>
          <w:rFonts w:ascii="宋体" w:eastAsia="宋体" w:hAnsi="宋体" w:cs="宋体" w:hint="eastAsia"/>
          <w:sz w:val="21"/>
          <w:szCs w:val="21"/>
        </w:rPr>
        <w:t>学习地点：</w:t>
      </w:r>
      <w:r w:rsidR="00B763F2" w:rsidRPr="00B763F2">
        <w:rPr>
          <w:rFonts w:ascii="宋体" w:eastAsia="宋体" w:hAnsi="宋体" w:cs="宋体" w:hint="eastAsia"/>
          <w:sz w:val="21"/>
          <w:szCs w:val="21"/>
        </w:rPr>
        <w:t>学院</w:t>
      </w:r>
      <w:r>
        <w:rPr>
          <w:rFonts w:ascii="宋体" w:eastAsia="宋体" w:hAnsi="宋体" w:cs="宋体" w:hint="eastAsia"/>
          <w:sz w:val="21"/>
          <w:szCs w:val="21"/>
        </w:rPr>
        <w:t>江津</w:t>
      </w:r>
      <w:r w:rsidR="00B763F2" w:rsidRPr="00B763F2">
        <w:rPr>
          <w:rFonts w:ascii="宋体" w:eastAsia="宋体" w:hAnsi="宋体" w:cs="宋体" w:hint="eastAsia"/>
          <w:sz w:val="21"/>
          <w:szCs w:val="21"/>
        </w:rPr>
        <w:t>校区。</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学习形式：</w:t>
      </w:r>
      <w:r w:rsidR="00305E62">
        <w:rPr>
          <w:rFonts w:ascii="宋体" w:eastAsia="宋体" w:hAnsi="宋体" w:cs="宋体" w:hint="eastAsia"/>
          <w:sz w:val="21"/>
          <w:szCs w:val="21"/>
        </w:rPr>
        <w:t>业余</w:t>
      </w:r>
      <w:r w:rsidRPr="00B763F2">
        <w:rPr>
          <w:rFonts w:ascii="宋体" w:eastAsia="宋体" w:hAnsi="宋体" w:cs="宋体" w:hint="eastAsia"/>
          <w:sz w:val="21"/>
          <w:szCs w:val="21"/>
        </w:rPr>
        <w:t>。</w:t>
      </w:r>
    </w:p>
    <w:p w:rsidR="00B763F2" w:rsidRPr="00B763F2" w:rsidRDefault="00B763F2" w:rsidP="00B763F2">
      <w:pPr>
        <w:adjustRightInd/>
        <w:snapToGrid/>
        <w:spacing w:before="150" w:after="0" w:line="360" w:lineRule="atLeast"/>
        <w:ind w:left="420"/>
        <w:rPr>
          <w:rFonts w:ascii="ˎ̥" w:eastAsia="宋体" w:hAnsi="ˎ̥" w:cs="宋体" w:hint="eastAsia"/>
          <w:sz w:val="21"/>
          <w:szCs w:val="21"/>
        </w:rPr>
      </w:pPr>
      <w:r w:rsidRPr="00B763F2">
        <w:rPr>
          <w:rFonts w:ascii="宋体" w:eastAsia="宋体" w:hAnsi="宋体" w:cs="宋体" w:hint="eastAsia"/>
          <w:b/>
          <w:bCs/>
          <w:sz w:val="21"/>
        </w:rPr>
        <w:t>九、毕业待遇</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1、毕业：学生在规定的学习期限内修满教学计划要求的最低学分（即各门课程考试成绩及格），毕业鉴定合格，完清费用，即可毕业。</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2、毕业证书：毕业时由重庆工程职业技术学院统一颁发经电子注册、国家承认学历的成人高等教育（</w:t>
      </w:r>
      <w:r w:rsidR="00305E62">
        <w:rPr>
          <w:rFonts w:ascii="宋体" w:eastAsia="宋体" w:hAnsi="宋体" w:cs="宋体" w:hint="eastAsia"/>
          <w:sz w:val="21"/>
          <w:szCs w:val="21"/>
        </w:rPr>
        <w:t>业余</w:t>
      </w:r>
      <w:r w:rsidRPr="00B763F2">
        <w:rPr>
          <w:rFonts w:ascii="宋体" w:eastAsia="宋体" w:hAnsi="宋体" w:cs="宋体" w:hint="eastAsia"/>
          <w:sz w:val="21"/>
          <w:szCs w:val="21"/>
        </w:rPr>
        <w:t>）毕业证书。</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3、毕业待遇：成人高等教育毕业生自主就业，毕业时学校不发派遣证，不负责安排就业等事宜。</w:t>
      </w:r>
    </w:p>
    <w:p w:rsidR="00B763F2" w:rsidRPr="00B763F2" w:rsidRDefault="00B763F2" w:rsidP="00B763F2">
      <w:pPr>
        <w:adjustRightInd/>
        <w:snapToGrid/>
        <w:spacing w:before="150" w:after="0" w:line="360" w:lineRule="atLeast"/>
        <w:ind w:left="420"/>
        <w:rPr>
          <w:rFonts w:ascii="ˎ̥" w:eastAsia="宋体" w:hAnsi="ˎ̥" w:cs="宋体" w:hint="eastAsia"/>
          <w:sz w:val="21"/>
          <w:szCs w:val="21"/>
        </w:rPr>
      </w:pPr>
      <w:r w:rsidRPr="00B763F2">
        <w:rPr>
          <w:rFonts w:ascii="宋体" w:eastAsia="宋体" w:hAnsi="宋体" w:cs="宋体" w:hint="eastAsia"/>
          <w:b/>
          <w:bCs/>
          <w:sz w:val="21"/>
        </w:rPr>
        <w:t>十、招生联系方式</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学院地址：重庆市</w:t>
      </w:r>
      <w:r w:rsidR="00F0539E">
        <w:rPr>
          <w:rFonts w:ascii="宋体" w:eastAsia="宋体" w:hAnsi="宋体" w:cs="宋体" w:hint="eastAsia"/>
          <w:sz w:val="21"/>
          <w:szCs w:val="21"/>
        </w:rPr>
        <w:t xml:space="preserve">江津区双福滨江新城南北大道1号     </w:t>
      </w:r>
      <w:r w:rsidRPr="00B763F2">
        <w:rPr>
          <w:rFonts w:ascii="宋体" w:eastAsia="宋体" w:hAnsi="宋体" w:cs="宋体" w:hint="eastAsia"/>
          <w:sz w:val="21"/>
          <w:szCs w:val="21"/>
        </w:rPr>
        <w:t>邮编：4</w:t>
      </w:r>
      <w:r w:rsidR="00F0539E">
        <w:rPr>
          <w:rFonts w:ascii="宋体" w:eastAsia="宋体" w:hAnsi="宋体" w:cs="宋体" w:hint="eastAsia"/>
          <w:sz w:val="21"/>
          <w:szCs w:val="21"/>
        </w:rPr>
        <w:t>22260</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学院网址：</w:t>
      </w:r>
      <w:r w:rsidR="00CA01BF" w:rsidRPr="00B763F2">
        <w:rPr>
          <w:rFonts w:ascii="ˎ̥" w:eastAsia="宋体" w:hAnsi="ˎ̥" w:cs="宋体" w:hint="eastAsia"/>
          <w:sz w:val="21"/>
          <w:szCs w:val="21"/>
        </w:rPr>
        <w:fldChar w:fldCharType="begin"/>
      </w:r>
      <w:r w:rsidRPr="00B763F2">
        <w:rPr>
          <w:rFonts w:ascii="ˎ̥" w:eastAsia="宋体" w:hAnsi="ˎ̥" w:cs="宋体" w:hint="eastAsia"/>
          <w:sz w:val="21"/>
          <w:szCs w:val="21"/>
        </w:rPr>
        <w:instrText xml:space="preserve"> HYPERLINK "http://www.cqvie.edu.cn/" </w:instrText>
      </w:r>
      <w:r w:rsidR="00CA01BF" w:rsidRPr="00B763F2">
        <w:rPr>
          <w:rFonts w:ascii="ˎ̥" w:eastAsia="宋体" w:hAnsi="ˎ̥" w:cs="宋体" w:hint="eastAsia"/>
          <w:sz w:val="21"/>
          <w:szCs w:val="21"/>
        </w:rPr>
        <w:fldChar w:fldCharType="separate"/>
      </w:r>
      <w:r w:rsidRPr="00B763F2">
        <w:rPr>
          <w:rFonts w:ascii="宋体" w:eastAsia="宋体" w:hAnsi="宋体" w:cs="宋体" w:hint="eastAsia"/>
          <w:color w:val="800080"/>
          <w:sz w:val="21"/>
        </w:rPr>
        <w:t>www.cqvie.edu.cn</w:t>
      </w:r>
      <w:r w:rsidR="00CA01BF" w:rsidRPr="00B763F2">
        <w:rPr>
          <w:rFonts w:ascii="ˎ̥" w:eastAsia="宋体" w:hAnsi="ˎ̥" w:cs="宋体" w:hint="eastAsia"/>
          <w:sz w:val="21"/>
          <w:szCs w:val="21"/>
        </w:rPr>
        <w:fldChar w:fldCharType="end"/>
      </w:r>
      <w:r w:rsidRPr="00B763F2">
        <w:rPr>
          <w:rFonts w:ascii="宋体" w:eastAsia="宋体" w:hAnsi="宋体" w:cs="宋体" w:hint="eastAsia"/>
          <w:sz w:val="21"/>
          <w:szCs w:val="21"/>
        </w:rPr>
        <w:t>或</w:t>
      </w:r>
      <w:proofErr w:type="spellStart"/>
      <w:r w:rsidRPr="00B763F2">
        <w:rPr>
          <w:rFonts w:ascii="宋体" w:eastAsia="宋体" w:hAnsi="宋体" w:cs="宋体" w:hint="eastAsia"/>
          <w:color w:val="0000FF"/>
          <w:sz w:val="21"/>
          <w:szCs w:val="21"/>
          <w:u w:val="single"/>
        </w:rPr>
        <w:t>www.cqvie.edu.cn/jxjy</w:t>
      </w:r>
      <w:proofErr w:type="spellEnd"/>
      <w:r w:rsidRPr="00B763F2">
        <w:rPr>
          <w:rFonts w:ascii="宋体" w:eastAsia="宋体" w:hAnsi="宋体" w:cs="宋体" w:hint="eastAsia"/>
          <w:color w:val="0000FF"/>
          <w:sz w:val="21"/>
          <w:szCs w:val="21"/>
          <w:u w:val="single"/>
        </w:rPr>
        <w:t>/</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lastRenderedPageBreak/>
        <w:t>联系部门：重庆工程职业技术学院</w:t>
      </w:r>
      <w:r w:rsidR="003E3BFC">
        <w:rPr>
          <w:rFonts w:ascii="宋体" w:eastAsia="宋体" w:hAnsi="宋体" w:cs="宋体" w:hint="eastAsia"/>
          <w:sz w:val="21"/>
          <w:szCs w:val="21"/>
        </w:rPr>
        <w:t xml:space="preserve"> </w:t>
      </w:r>
      <w:r w:rsidRPr="00B763F2">
        <w:rPr>
          <w:rFonts w:ascii="宋体" w:eastAsia="宋体" w:hAnsi="宋体" w:cs="宋体" w:hint="eastAsia"/>
          <w:sz w:val="21"/>
          <w:szCs w:val="21"/>
        </w:rPr>
        <w:t>继续教育学院</w:t>
      </w:r>
    </w:p>
    <w:p w:rsidR="00B763F2" w:rsidRPr="00B763F2" w:rsidRDefault="00B763F2" w:rsidP="00B763F2">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联系人：张老师、何老师、马老师</w:t>
      </w:r>
    </w:p>
    <w:p w:rsidR="004358AB" w:rsidRPr="001B13F8" w:rsidRDefault="00B763F2" w:rsidP="001B13F8">
      <w:pPr>
        <w:adjustRightInd/>
        <w:snapToGrid/>
        <w:spacing w:before="150" w:after="0" w:line="360" w:lineRule="atLeast"/>
        <w:ind w:firstLine="480"/>
        <w:rPr>
          <w:rFonts w:ascii="ˎ̥" w:eastAsia="宋体" w:hAnsi="ˎ̥" w:cs="宋体" w:hint="eastAsia"/>
          <w:sz w:val="21"/>
          <w:szCs w:val="21"/>
        </w:rPr>
      </w:pPr>
      <w:r w:rsidRPr="00B763F2">
        <w:rPr>
          <w:rFonts w:ascii="宋体" w:eastAsia="宋体" w:hAnsi="宋体" w:cs="宋体" w:hint="eastAsia"/>
          <w:sz w:val="21"/>
          <w:szCs w:val="21"/>
        </w:rPr>
        <w:t>电</w:t>
      </w:r>
      <w:r w:rsidR="0025724C">
        <w:rPr>
          <w:rFonts w:ascii="宋体" w:eastAsia="宋体" w:hAnsi="宋体" w:cs="宋体" w:hint="eastAsia"/>
          <w:sz w:val="21"/>
          <w:szCs w:val="21"/>
        </w:rPr>
        <w:t xml:space="preserve">  </w:t>
      </w:r>
      <w:r w:rsidRPr="00B763F2">
        <w:rPr>
          <w:rFonts w:ascii="宋体" w:eastAsia="宋体" w:hAnsi="宋体" w:cs="宋体" w:hint="eastAsia"/>
          <w:sz w:val="21"/>
          <w:szCs w:val="21"/>
        </w:rPr>
        <w:t>话： 023-</w:t>
      </w:r>
      <w:r w:rsidR="001B13F8">
        <w:rPr>
          <w:rFonts w:ascii="宋体" w:eastAsia="宋体" w:hAnsi="宋体" w:cs="宋体" w:hint="eastAsia"/>
          <w:sz w:val="21"/>
          <w:szCs w:val="21"/>
        </w:rPr>
        <w:t xml:space="preserve">61065992 </w:t>
      </w:r>
      <w:r w:rsidR="0025724C">
        <w:rPr>
          <w:rFonts w:ascii="宋体" w:eastAsia="宋体" w:hAnsi="宋体" w:cs="宋体" w:hint="eastAsia"/>
          <w:sz w:val="21"/>
          <w:szCs w:val="21"/>
        </w:rPr>
        <w:t xml:space="preserve"> </w:t>
      </w:r>
      <w:r w:rsidR="001B13F8">
        <w:rPr>
          <w:rFonts w:ascii="宋体" w:eastAsia="宋体" w:hAnsi="宋体" w:cs="宋体" w:hint="eastAsia"/>
          <w:sz w:val="21"/>
          <w:szCs w:val="21"/>
        </w:rPr>
        <w:t xml:space="preserve"> </w:t>
      </w:r>
      <w:r w:rsidR="0025724C">
        <w:rPr>
          <w:rFonts w:ascii="宋体" w:eastAsia="宋体" w:hAnsi="宋体" w:cs="宋体" w:hint="eastAsia"/>
          <w:sz w:val="21"/>
          <w:szCs w:val="21"/>
        </w:rPr>
        <w:t>023-61065451</w:t>
      </w:r>
      <w:r w:rsidRPr="00B763F2">
        <w:rPr>
          <w:rFonts w:ascii="宋体" w:eastAsia="宋体" w:hAnsi="宋体" w:cs="宋体" w:hint="eastAsia"/>
          <w:sz w:val="21"/>
          <w:szCs w:val="21"/>
        </w:rPr>
        <w:t>（兼传真）</w:t>
      </w:r>
    </w:p>
    <w:sectPr w:rsidR="004358AB" w:rsidRPr="001B13F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88" w:rsidRDefault="00B93888" w:rsidP="001A3786">
      <w:pPr>
        <w:spacing w:after="0"/>
      </w:pPr>
      <w:r>
        <w:separator/>
      </w:r>
    </w:p>
  </w:endnote>
  <w:endnote w:type="continuationSeparator" w:id="0">
    <w:p w:rsidR="00B93888" w:rsidRDefault="00B93888" w:rsidP="001A37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88" w:rsidRDefault="00B93888" w:rsidP="001A3786">
      <w:pPr>
        <w:spacing w:after="0"/>
      </w:pPr>
      <w:r>
        <w:separator/>
      </w:r>
    </w:p>
  </w:footnote>
  <w:footnote w:type="continuationSeparator" w:id="0">
    <w:p w:rsidR="00B93888" w:rsidRDefault="00B93888" w:rsidP="001A378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80B5E"/>
    <w:rsid w:val="00130B4F"/>
    <w:rsid w:val="001A3786"/>
    <w:rsid w:val="001B13F8"/>
    <w:rsid w:val="0025724C"/>
    <w:rsid w:val="00305E62"/>
    <w:rsid w:val="00323B43"/>
    <w:rsid w:val="003307F0"/>
    <w:rsid w:val="003406FB"/>
    <w:rsid w:val="003B2089"/>
    <w:rsid w:val="003B2C5C"/>
    <w:rsid w:val="003D37D8"/>
    <w:rsid w:val="003E3BFC"/>
    <w:rsid w:val="00426133"/>
    <w:rsid w:val="004358AB"/>
    <w:rsid w:val="00561709"/>
    <w:rsid w:val="00824F79"/>
    <w:rsid w:val="008941BE"/>
    <w:rsid w:val="008B7726"/>
    <w:rsid w:val="00922155"/>
    <w:rsid w:val="009939E8"/>
    <w:rsid w:val="00A33D3E"/>
    <w:rsid w:val="00B763F2"/>
    <w:rsid w:val="00B93888"/>
    <w:rsid w:val="00C1242E"/>
    <w:rsid w:val="00CA01BF"/>
    <w:rsid w:val="00D31D50"/>
    <w:rsid w:val="00D333EC"/>
    <w:rsid w:val="00E4076D"/>
    <w:rsid w:val="00E944AF"/>
    <w:rsid w:val="00ED4AEF"/>
    <w:rsid w:val="00F0539E"/>
    <w:rsid w:val="00F70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B763F2"/>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763F2"/>
    <w:rPr>
      <w:rFonts w:ascii="宋体" w:eastAsia="宋体" w:hAnsi="宋体" w:cs="宋体"/>
      <w:b/>
      <w:bCs/>
      <w:sz w:val="27"/>
      <w:szCs w:val="27"/>
    </w:rPr>
  </w:style>
  <w:style w:type="character" w:styleId="a3">
    <w:name w:val="Hyperlink"/>
    <w:basedOn w:val="a0"/>
    <w:uiPriority w:val="99"/>
    <w:semiHidden/>
    <w:unhideWhenUsed/>
    <w:rsid w:val="00B763F2"/>
    <w:rPr>
      <w:strike w:val="0"/>
      <w:dstrike w:val="0"/>
      <w:color w:val="000000"/>
      <w:u w:val="none"/>
      <w:effect w:val="none"/>
    </w:rPr>
  </w:style>
  <w:style w:type="character" w:customStyle="1" w:styleId="puber1">
    <w:name w:val="puber1"/>
    <w:basedOn w:val="a0"/>
    <w:rsid w:val="00B763F2"/>
    <w:rPr>
      <w:sz w:val="18"/>
      <w:szCs w:val="18"/>
    </w:rPr>
  </w:style>
  <w:style w:type="character" w:customStyle="1" w:styleId="assessor">
    <w:name w:val="assessor"/>
    <w:basedOn w:val="a0"/>
    <w:rsid w:val="00B763F2"/>
  </w:style>
  <w:style w:type="character" w:customStyle="1" w:styleId="pubtime1">
    <w:name w:val="pubtime1"/>
    <w:basedOn w:val="a0"/>
    <w:rsid w:val="00B763F2"/>
    <w:rPr>
      <w:sz w:val="18"/>
      <w:szCs w:val="18"/>
    </w:rPr>
  </w:style>
  <w:style w:type="character" w:customStyle="1" w:styleId="fwl1">
    <w:name w:val="fwl1"/>
    <w:basedOn w:val="a0"/>
    <w:rsid w:val="00B763F2"/>
    <w:rPr>
      <w:sz w:val="18"/>
      <w:szCs w:val="18"/>
    </w:rPr>
  </w:style>
  <w:style w:type="paragraph" w:styleId="a4">
    <w:name w:val="Normal (Web)"/>
    <w:basedOn w:val="a"/>
    <w:uiPriority w:val="99"/>
    <w:unhideWhenUsed/>
    <w:rsid w:val="00B763F2"/>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B763F2"/>
    <w:rPr>
      <w:b/>
      <w:bCs/>
    </w:rPr>
  </w:style>
  <w:style w:type="paragraph" w:styleId="a6">
    <w:name w:val="header"/>
    <w:basedOn w:val="a"/>
    <w:link w:val="Char"/>
    <w:uiPriority w:val="99"/>
    <w:semiHidden/>
    <w:unhideWhenUsed/>
    <w:rsid w:val="001A378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1A3786"/>
    <w:rPr>
      <w:rFonts w:ascii="Tahoma" w:hAnsi="Tahoma"/>
      <w:sz w:val="18"/>
      <w:szCs w:val="18"/>
    </w:rPr>
  </w:style>
  <w:style w:type="paragraph" w:styleId="a7">
    <w:name w:val="footer"/>
    <w:basedOn w:val="a"/>
    <w:link w:val="Char0"/>
    <w:uiPriority w:val="99"/>
    <w:semiHidden/>
    <w:unhideWhenUsed/>
    <w:rsid w:val="001A3786"/>
    <w:pPr>
      <w:tabs>
        <w:tab w:val="center" w:pos="4153"/>
        <w:tab w:val="right" w:pos="8306"/>
      </w:tabs>
    </w:pPr>
    <w:rPr>
      <w:sz w:val="18"/>
      <w:szCs w:val="18"/>
    </w:rPr>
  </w:style>
  <w:style w:type="character" w:customStyle="1" w:styleId="Char0">
    <w:name w:val="页脚 Char"/>
    <w:basedOn w:val="a0"/>
    <w:link w:val="a7"/>
    <w:uiPriority w:val="99"/>
    <w:semiHidden/>
    <w:rsid w:val="001A378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8234131">
      <w:bodyDiv w:val="1"/>
      <w:marLeft w:val="0"/>
      <w:marRight w:val="0"/>
      <w:marTop w:val="0"/>
      <w:marBottom w:val="0"/>
      <w:divBdr>
        <w:top w:val="none" w:sz="0" w:space="0" w:color="auto"/>
        <w:left w:val="none" w:sz="0" w:space="0" w:color="auto"/>
        <w:bottom w:val="none" w:sz="0" w:space="0" w:color="auto"/>
        <w:right w:val="none" w:sz="0" w:space="0" w:color="auto"/>
      </w:divBdr>
      <w:divsChild>
        <w:div w:id="1167332477">
          <w:marLeft w:val="0"/>
          <w:marRight w:val="0"/>
          <w:marTop w:val="0"/>
          <w:marBottom w:val="0"/>
          <w:divBdr>
            <w:top w:val="none" w:sz="0" w:space="0" w:color="auto"/>
            <w:left w:val="none" w:sz="0" w:space="0" w:color="auto"/>
            <w:bottom w:val="none" w:sz="0" w:space="0" w:color="auto"/>
            <w:right w:val="none" w:sz="0" w:space="0" w:color="auto"/>
          </w:divBdr>
          <w:divsChild>
            <w:div w:id="1680960498">
              <w:marLeft w:val="0"/>
              <w:marRight w:val="0"/>
              <w:marTop w:val="0"/>
              <w:marBottom w:val="0"/>
              <w:divBdr>
                <w:top w:val="none" w:sz="0" w:space="0" w:color="auto"/>
                <w:left w:val="none" w:sz="0" w:space="0" w:color="auto"/>
                <w:bottom w:val="dashed" w:sz="6" w:space="0" w:color="CCCCCC"/>
                <w:right w:val="none" w:sz="0" w:space="0" w:color="auto"/>
              </w:divBdr>
            </w:div>
            <w:div w:id="1079059233">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056899865">
      <w:bodyDiv w:val="1"/>
      <w:marLeft w:val="0"/>
      <w:marRight w:val="0"/>
      <w:marTop w:val="0"/>
      <w:marBottom w:val="0"/>
      <w:divBdr>
        <w:top w:val="none" w:sz="0" w:space="0" w:color="auto"/>
        <w:left w:val="none" w:sz="0" w:space="0" w:color="auto"/>
        <w:bottom w:val="none" w:sz="0" w:space="0" w:color="auto"/>
        <w:right w:val="none" w:sz="0" w:space="0" w:color="auto"/>
      </w:divBdr>
      <w:divsChild>
        <w:div w:id="1565019640">
          <w:marLeft w:val="0"/>
          <w:marRight w:val="0"/>
          <w:marTop w:val="0"/>
          <w:marBottom w:val="0"/>
          <w:divBdr>
            <w:top w:val="none" w:sz="0" w:space="0" w:color="auto"/>
            <w:left w:val="none" w:sz="0" w:space="0" w:color="auto"/>
            <w:bottom w:val="none" w:sz="0" w:space="0" w:color="auto"/>
            <w:right w:val="none" w:sz="0" w:space="0" w:color="auto"/>
          </w:divBdr>
          <w:divsChild>
            <w:div w:id="1253854449">
              <w:marLeft w:val="0"/>
              <w:marRight w:val="0"/>
              <w:marTop w:val="0"/>
              <w:marBottom w:val="0"/>
              <w:divBdr>
                <w:top w:val="none" w:sz="0" w:space="0" w:color="auto"/>
                <w:left w:val="none" w:sz="0" w:space="0" w:color="auto"/>
                <w:bottom w:val="none" w:sz="0" w:space="0" w:color="auto"/>
                <w:right w:val="none" w:sz="0" w:space="0" w:color="auto"/>
              </w:divBdr>
              <w:divsChild>
                <w:div w:id="935794798">
                  <w:marLeft w:val="0"/>
                  <w:marRight w:val="0"/>
                  <w:marTop w:val="0"/>
                  <w:marBottom w:val="0"/>
                  <w:divBdr>
                    <w:top w:val="none" w:sz="0" w:space="0" w:color="auto"/>
                    <w:left w:val="none" w:sz="0" w:space="0" w:color="auto"/>
                    <w:bottom w:val="none" w:sz="0" w:space="0" w:color="auto"/>
                    <w:right w:val="none" w:sz="0" w:space="0" w:color="auto"/>
                  </w:divBdr>
                  <w:divsChild>
                    <w:div w:id="1799840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65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qzk.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cqzkb.gov.cn/czwe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2017-09-07T01:01:00Z</dcterms:modified>
</cp:coreProperties>
</file>